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9B245" w14:textId="77777777" w:rsidR="00DB2B99" w:rsidRPr="00F10734" w:rsidRDefault="00DB2B99" w:rsidP="00DB2B99">
      <w:pPr>
        <w:pStyle w:val="box455823"/>
        <w:shd w:val="clear" w:color="auto" w:fill="FFFFFF"/>
        <w:spacing w:before="0" w:beforeAutospacing="0" w:after="48" w:afterAutospacing="0"/>
        <w:jc w:val="both"/>
        <w:textAlignment w:val="baseline"/>
        <w:rPr>
          <w:rFonts w:asciiTheme="minorHAnsi" w:hAnsiTheme="minorHAnsi" w:cstheme="minorHAnsi"/>
          <w:i/>
          <w:iCs/>
          <w:color w:val="231F20"/>
          <w:sz w:val="22"/>
          <w:szCs w:val="22"/>
          <w:u w:val="single"/>
        </w:rPr>
      </w:pPr>
      <w:r w:rsidRPr="00F10734">
        <w:rPr>
          <w:rFonts w:asciiTheme="minorHAnsi" w:hAnsiTheme="minorHAnsi" w:cstheme="minorHAnsi"/>
          <w:i/>
          <w:iCs/>
          <w:color w:val="231F20"/>
          <w:sz w:val="22"/>
          <w:szCs w:val="22"/>
          <w:u w:val="single"/>
        </w:rPr>
        <w:t>Prijedlog</w:t>
      </w:r>
    </w:p>
    <w:p w14:paraId="2138D3F0" w14:textId="77777777" w:rsidR="001976DD" w:rsidRPr="00F10734" w:rsidRDefault="001976DD" w:rsidP="00DB2B99">
      <w:pPr>
        <w:pStyle w:val="box455823"/>
        <w:shd w:val="clear" w:color="auto" w:fill="FFFFFF"/>
        <w:spacing w:before="0" w:beforeAutospacing="0" w:after="48" w:afterAutospacing="0"/>
        <w:jc w:val="both"/>
        <w:textAlignment w:val="baseline"/>
        <w:rPr>
          <w:rFonts w:asciiTheme="minorHAnsi" w:hAnsiTheme="minorHAnsi" w:cstheme="minorHAnsi"/>
          <w:i/>
          <w:iCs/>
          <w:color w:val="231F20"/>
          <w:sz w:val="22"/>
          <w:szCs w:val="22"/>
          <w:u w:val="single"/>
        </w:rPr>
      </w:pPr>
    </w:p>
    <w:p w14:paraId="1C2773FC" w14:textId="30E347AA" w:rsidR="001976DD" w:rsidRPr="00F10734" w:rsidRDefault="001976DD" w:rsidP="00A2095C">
      <w:pPr>
        <w:pStyle w:val="box45582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10734">
        <w:rPr>
          <w:rFonts w:asciiTheme="minorHAnsi" w:hAnsiTheme="minorHAnsi" w:cstheme="minorHAnsi"/>
          <w:sz w:val="22"/>
          <w:szCs w:val="22"/>
        </w:rPr>
        <w:t>Na temelju članka 12</w:t>
      </w:r>
      <w:r w:rsidR="004570F4" w:rsidRPr="00F10734">
        <w:rPr>
          <w:rFonts w:asciiTheme="minorHAnsi" w:hAnsiTheme="minorHAnsi" w:cstheme="minorHAnsi"/>
          <w:sz w:val="22"/>
          <w:szCs w:val="22"/>
        </w:rPr>
        <w:t>2</w:t>
      </w:r>
      <w:r w:rsidRPr="00F10734">
        <w:rPr>
          <w:rFonts w:asciiTheme="minorHAnsi" w:hAnsiTheme="minorHAnsi" w:cstheme="minorHAnsi"/>
          <w:sz w:val="22"/>
          <w:szCs w:val="22"/>
        </w:rPr>
        <w:t>. Zakona o proračunu („Narodne novine“</w:t>
      </w:r>
      <w:r w:rsidR="00322C7D">
        <w:rPr>
          <w:rFonts w:asciiTheme="minorHAnsi" w:hAnsiTheme="minorHAnsi" w:cstheme="minorHAnsi"/>
          <w:sz w:val="22"/>
          <w:szCs w:val="22"/>
        </w:rPr>
        <w:t xml:space="preserve"> broj 144/21</w:t>
      </w:r>
      <w:r w:rsidRPr="00F10734">
        <w:rPr>
          <w:rFonts w:asciiTheme="minorHAnsi" w:hAnsiTheme="minorHAnsi" w:cstheme="minorHAnsi"/>
          <w:sz w:val="22"/>
          <w:szCs w:val="22"/>
        </w:rPr>
        <w:t>), Pravilnika o postupku zaduživanja te davanja jamstava i suglasnosti jedinica lokalne i područne (regionalne) samoupra</w:t>
      </w:r>
      <w:r w:rsidR="00322C7D">
        <w:rPr>
          <w:rFonts w:asciiTheme="minorHAnsi" w:hAnsiTheme="minorHAnsi" w:cstheme="minorHAnsi"/>
          <w:sz w:val="22"/>
          <w:szCs w:val="22"/>
        </w:rPr>
        <w:t>ve („Narodne novine“ broj 67/22</w:t>
      </w:r>
      <w:r w:rsidRPr="00F10734">
        <w:rPr>
          <w:rFonts w:asciiTheme="minorHAnsi" w:hAnsiTheme="minorHAnsi" w:cstheme="minorHAnsi"/>
          <w:sz w:val="22"/>
          <w:szCs w:val="22"/>
        </w:rPr>
        <w:t xml:space="preserve">) i </w:t>
      </w:r>
      <w:r w:rsidR="00D059D4" w:rsidRPr="00F10734">
        <w:rPr>
          <w:rFonts w:asciiTheme="minorHAnsi" w:hAnsiTheme="minorHAnsi" w:cstheme="minorHAnsi"/>
          <w:color w:val="231F20"/>
          <w:sz w:val="22"/>
          <w:szCs w:val="22"/>
        </w:rPr>
        <w:t xml:space="preserve">članka 51. Statuta Grada Drniša („Službeni </w:t>
      </w:r>
      <w:r w:rsidR="00322C7D">
        <w:rPr>
          <w:rFonts w:asciiTheme="minorHAnsi" w:hAnsiTheme="minorHAnsi" w:cstheme="minorHAnsi"/>
          <w:color w:val="231F20"/>
          <w:sz w:val="22"/>
          <w:szCs w:val="22"/>
        </w:rPr>
        <w:t>glasnik grada Drniša“, broj 2/21</w:t>
      </w:r>
      <w:r w:rsidR="00D059D4" w:rsidRPr="00F10734">
        <w:rPr>
          <w:rFonts w:asciiTheme="minorHAnsi" w:hAnsiTheme="minorHAnsi" w:cstheme="minorHAnsi"/>
          <w:color w:val="231F20"/>
          <w:sz w:val="22"/>
          <w:szCs w:val="22"/>
        </w:rPr>
        <w:t xml:space="preserve"> i 2/22), Gradsko vijeće Grada Drniša, na ____. sjednici održanoj ___________ 202</w:t>
      </w:r>
      <w:r w:rsidR="006C3805" w:rsidRPr="00F10734">
        <w:rPr>
          <w:rFonts w:asciiTheme="minorHAnsi" w:hAnsiTheme="minorHAnsi" w:cstheme="minorHAnsi"/>
          <w:color w:val="231F20"/>
          <w:sz w:val="22"/>
          <w:szCs w:val="22"/>
        </w:rPr>
        <w:t>5</w:t>
      </w:r>
      <w:r w:rsidR="00D059D4" w:rsidRPr="00F10734">
        <w:rPr>
          <w:rFonts w:asciiTheme="minorHAnsi" w:hAnsiTheme="minorHAnsi" w:cstheme="minorHAnsi"/>
          <w:color w:val="231F20"/>
          <w:sz w:val="22"/>
          <w:szCs w:val="22"/>
        </w:rPr>
        <w:t>. godine, donijelo je</w:t>
      </w:r>
    </w:p>
    <w:p w14:paraId="30993D33" w14:textId="77777777" w:rsidR="00D059D4" w:rsidRPr="00F10734" w:rsidRDefault="001976DD" w:rsidP="00D059D4">
      <w:pPr>
        <w:jc w:val="center"/>
        <w:rPr>
          <w:rFonts w:cstheme="minorHAnsi"/>
        </w:rPr>
      </w:pPr>
      <w:r w:rsidRPr="00F10734">
        <w:rPr>
          <w:rFonts w:cstheme="minorHAnsi"/>
        </w:rPr>
        <w:t xml:space="preserve">O D L U K U </w:t>
      </w:r>
    </w:p>
    <w:p w14:paraId="01CD9F47" w14:textId="77777777" w:rsidR="001976DD" w:rsidRPr="00F10734" w:rsidRDefault="001976DD" w:rsidP="00D059D4">
      <w:pPr>
        <w:jc w:val="center"/>
        <w:rPr>
          <w:rFonts w:cstheme="minorHAnsi"/>
        </w:rPr>
      </w:pPr>
      <w:r w:rsidRPr="00F10734">
        <w:rPr>
          <w:rFonts w:cstheme="minorHAnsi"/>
        </w:rPr>
        <w:t>o zaduživanju za realizaciju projekta „Izgradnja i opremanje Centra za starije osobe u Gradu Drnišu“</w:t>
      </w:r>
    </w:p>
    <w:p w14:paraId="486420CA" w14:textId="77777777" w:rsidR="00A2095C" w:rsidRPr="00F10734" w:rsidRDefault="00A2095C" w:rsidP="00D059D4">
      <w:pPr>
        <w:jc w:val="center"/>
        <w:rPr>
          <w:rFonts w:cstheme="minorHAnsi"/>
          <w:b/>
        </w:rPr>
      </w:pPr>
    </w:p>
    <w:p w14:paraId="444AAF7D" w14:textId="77777777" w:rsidR="001976DD" w:rsidRPr="00F10734" w:rsidRDefault="001976DD" w:rsidP="00D059D4">
      <w:pPr>
        <w:jc w:val="center"/>
        <w:rPr>
          <w:rFonts w:cstheme="minorHAnsi"/>
          <w:b/>
        </w:rPr>
      </w:pPr>
      <w:r w:rsidRPr="00F10734">
        <w:rPr>
          <w:rFonts w:cstheme="minorHAnsi"/>
          <w:b/>
        </w:rPr>
        <w:t>Članak 1.</w:t>
      </w:r>
    </w:p>
    <w:p w14:paraId="003B318B" w14:textId="0369862A" w:rsidR="001976DD" w:rsidRPr="00F10734" w:rsidRDefault="001976DD" w:rsidP="001976DD">
      <w:pPr>
        <w:rPr>
          <w:rFonts w:cstheme="minorHAnsi"/>
        </w:rPr>
      </w:pPr>
      <w:r w:rsidRPr="00F10734">
        <w:rPr>
          <w:rFonts w:cstheme="minorHAnsi"/>
        </w:rPr>
        <w:t xml:space="preserve">Odobrava se zaduženje Grada Drniša kod Hrvatske banke za obnovu i razvoj uzimanjem dugoročnog kredita u iznosu od </w:t>
      </w:r>
      <w:r w:rsidR="006C3805" w:rsidRPr="00F10734">
        <w:rPr>
          <w:rFonts w:cstheme="minorHAnsi"/>
        </w:rPr>
        <w:t>7</w:t>
      </w:r>
      <w:r w:rsidRPr="00F10734">
        <w:rPr>
          <w:rFonts w:cstheme="minorHAnsi"/>
        </w:rPr>
        <w:t>.</w:t>
      </w:r>
      <w:r w:rsidR="006C3805" w:rsidRPr="00F10734">
        <w:rPr>
          <w:rFonts w:cstheme="minorHAnsi"/>
        </w:rPr>
        <w:t>0</w:t>
      </w:r>
      <w:r w:rsidRPr="00F10734">
        <w:rPr>
          <w:rFonts w:cstheme="minorHAnsi"/>
        </w:rPr>
        <w:t xml:space="preserve">00.000,00 EUR  u svrhu realizacije kapitalnog projekta „Izgradnja i opremanje Centra za starije osobe Grada Drniša“  pod slijedećim uvjetima: </w:t>
      </w:r>
    </w:p>
    <w:p w14:paraId="79E860E2" w14:textId="38AAAB00" w:rsidR="001976DD" w:rsidRPr="00F10734" w:rsidRDefault="001976DD" w:rsidP="00D059D4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F10734">
        <w:rPr>
          <w:rFonts w:asciiTheme="minorHAnsi" w:hAnsiTheme="minorHAnsi" w:cstheme="minorHAnsi"/>
        </w:rPr>
        <w:t xml:space="preserve">iznos glavnice kredita: </w:t>
      </w:r>
      <w:r w:rsidR="006C3805" w:rsidRPr="00F10734">
        <w:rPr>
          <w:rFonts w:asciiTheme="minorHAnsi" w:hAnsiTheme="minorHAnsi" w:cstheme="minorHAnsi"/>
        </w:rPr>
        <w:t>7</w:t>
      </w:r>
      <w:r w:rsidRPr="00F10734">
        <w:rPr>
          <w:rFonts w:asciiTheme="minorHAnsi" w:hAnsiTheme="minorHAnsi" w:cstheme="minorHAnsi"/>
        </w:rPr>
        <w:t>.</w:t>
      </w:r>
      <w:r w:rsidR="006C3805" w:rsidRPr="00F10734">
        <w:rPr>
          <w:rFonts w:asciiTheme="minorHAnsi" w:hAnsiTheme="minorHAnsi" w:cstheme="minorHAnsi"/>
        </w:rPr>
        <w:t>0</w:t>
      </w:r>
      <w:r w:rsidRPr="00F10734">
        <w:rPr>
          <w:rFonts w:asciiTheme="minorHAnsi" w:hAnsiTheme="minorHAnsi" w:cstheme="minorHAnsi"/>
        </w:rPr>
        <w:t>00.000</w:t>
      </w:r>
      <w:r w:rsidR="00E2204C">
        <w:rPr>
          <w:rFonts w:asciiTheme="minorHAnsi" w:hAnsiTheme="minorHAnsi" w:cstheme="minorHAnsi"/>
        </w:rPr>
        <w:t>,00</w:t>
      </w:r>
      <w:r w:rsidRPr="00F10734">
        <w:rPr>
          <w:rFonts w:asciiTheme="minorHAnsi" w:hAnsiTheme="minorHAnsi" w:cstheme="minorHAnsi"/>
        </w:rPr>
        <w:t xml:space="preserve"> </w:t>
      </w:r>
      <w:r w:rsidR="006C3805" w:rsidRPr="00F10734">
        <w:rPr>
          <w:rFonts w:asciiTheme="minorHAnsi" w:hAnsiTheme="minorHAnsi" w:cstheme="minorHAnsi"/>
        </w:rPr>
        <w:t>EUR</w:t>
      </w:r>
      <w:r w:rsidRPr="00F10734">
        <w:rPr>
          <w:rFonts w:asciiTheme="minorHAnsi" w:hAnsiTheme="minorHAnsi" w:cstheme="minorHAnsi"/>
        </w:rPr>
        <w:t xml:space="preserve">, </w:t>
      </w:r>
    </w:p>
    <w:p w14:paraId="62D9B191" w14:textId="77777777" w:rsidR="004376A1" w:rsidRPr="00F10734" w:rsidRDefault="004376A1" w:rsidP="00D059D4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F10734">
        <w:rPr>
          <w:rFonts w:asciiTheme="minorHAnsi" w:hAnsiTheme="minorHAnsi" w:cstheme="minorHAnsi"/>
        </w:rPr>
        <w:t>projekt: Izgradnja i opremanje Centra za starije osobe Drniš</w:t>
      </w:r>
    </w:p>
    <w:p w14:paraId="547DEC74" w14:textId="43B14DBE" w:rsidR="001976DD" w:rsidRPr="00F10734" w:rsidRDefault="001976DD" w:rsidP="00D059D4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F10734">
        <w:rPr>
          <w:rFonts w:asciiTheme="minorHAnsi" w:hAnsiTheme="minorHAnsi" w:cstheme="minorHAnsi"/>
        </w:rPr>
        <w:t xml:space="preserve">namjena kredita: </w:t>
      </w:r>
      <w:r w:rsidR="004376A1" w:rsidRPr="00F10734">
        <w:rPr>
          <w:rFonts w:asciiTheme="minorHAnsi" w:hAnsiTheme="minorHAnsi" w:cstheme="minorHAnsi"/>
        </w:rPr>
        <w:t>građevinski radovi</w:t>
      </w:r>
      <w:r w:rsidR="006C3805" w:rsidRPr="00F10734">
        <w:rPr>
          <w:rFonts w:asciiTheme="minorHAnsi" w:hAnsiTheme="minorHAnsi" w:cstheme="minorHAnsi"/>
        </w:rPr>
        <w:t xml:space="preserve"> i </w:t>
      </w:r>
      <w:r w:rsidR="004376A1" w:rsidRPr="00F10734">
        <w:rPr>
          <w:rFonts w:asciiTheme="minorHAnsi" w:hAnsiTheme="minorHAnsi" w:cstheme="minorHAnsi"/>
        </w:rPr>
        <w:t>opremanje</w:t>
      </w:r>
      <w:r w:rsidRPr="00F10734">
        <w:rPr>
          <w:rFonts w:asciiTheme="minorHAnsi" w:hAnsiTheme="minorHAnsi" w:cstheme="minorHAnsi"/>
        </w:rPr>
        <w:t>,</w:t>
      </w:r>
    </w:p>
    <w:p w14:paraId="7DE503BD" w14:textId="77777777" w:rsidR="004376A1" w:rsidRPr="00F10734" w:rsidRDefault="004376A1" w:rsidP="00D059D4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F10734">
        <w:rPr>
          <w:rFonts w:asciiTheme="minorHAnsi" w:hAnsiTheme="minorHAnsi" w:cstheme="minorHAnsi"/>
        </w:rPr>
        <w:t>valuta kredita: EUR,</w:t>
      </w:r>
    </w:p>
    <w:p w14:paraId="55CD758D" w14:textId="07706AAE" w:rsidR="004376A1" w:rsidRPr="00F10734" w:rsidRDefault="004376A1" w:rsidP="00D059D4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F10734">
        <w:rPr>
          <w:rFonts w:asciiTheme="minorHAnsi" w:hAnsiTheme="minorHAnsi" w:cstheme="minorHAnsi"/>
        </w:rPr>
        <w:t>krajnji rok korištenja: do 30.0</w:t>
      </w:r>
      <w:r w:rsidR="006C3805" w:rsidRPr="00F10734">
        <w:rPr>
          <w:rFonts w:asciiTheme="minorHAnsi" w:hAnsiTheme="minorHAnsi" w:cstheme="minorHAnsi"/>
        </w:rPr>
        <w:t>6</w:t>
      </w:r>
      <w:r w:rsidRPr="00F10734">
        <w:rPr>
          <w:rFonts w:asciiTheme="minorHAnsi" w:hAnsiTheme="minorHAnsi" w:cstheme="minorHAnsi"/>
        </w:rPr>
        <w:t>.2026. godine,</w:t>
      </w:r>
    </w:p>
    <w:p w14:paraId="462380DB" w14:textId="13E64BFB" w:rsidR="004376A1" w:rsidRPr="00F10734" w:rsidRDefault="004376A1" w:rsidP="00D059D4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F10734">
        <w:rPr>
          <w:rFonts w:asciiTheme="minorHAnsi" w:hAnsiTheme="minorHAnsi" w:cstheme="minorHAnsi"/>
        </w:rPr>
        <w:t>otplata kredita: 15 godina</w:t>
      </w:r>
      <w:r w:rsidR="006C3805" w:rsidRPr="00F10734">
        <w:rPr>
          <w:rFonts w:asciiTheme="minorHAnsi" w:hAnsiTheme="minorHAnsi" w:cstheme="minorHAnsi"/>
        </w:rPr>
        <w:t xml:space="preserve"> (s uključene 2 godine počeka)</w:t>
      </w:r>
      <w:r w:rsidRPr="00F10734">
        <w:rPr>
          <w:rFonts w:asciiTheme="minorHAnsi" w:hAnsiTheme="minorHAnsi" w:cstheme="minorHAnsi"/>
        </w:rPr>
        <w:t>,</w:t>
      </w:r>
    </w:p>
    <w:p w14:paraId="5B133B35" w14:textId="21B4EF8C" w:rsidR="004376A1" w:rsidRPr="00F10734" w:rsidRDefault="004376A1" w:rsidP="00D059D4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F10734">
        <w:rPr>
          <w:rFonts w:asciiTheme="minorHAnsi" w:hAnsiTheme="minorHAnsi" w:cstheme="minorHAnsi"/>
        </w:rPr>
        <w:t xml:space="preserve">rok i način otplate kredita: u </w:t>
      </w:r>
      <w:r w:rsidR="006C3805" w:rsidRPr="00F10734">
        <w:rPr>
          <w:rFonts w:asciiTheme="minorHAnsi" w:hAnsiTheme="minorHAnsi" w:cstheme="minorHAnsi"/>
        </w:rPr>
        <w:t xml:space="preserve">52 jednake uzastopne tromjesečne rate koje dospijevaju zadnjeg dana u mjesecu (1. rata dospijeva </w:t>
      </w:r>
      <w:r w:rsidRPr="00F10734">
        <w:rPr>
          <w:rFonts w:asciiTheme="minorHAnsi" w:hAnsiTheme="minorHAnsi" w:cstheme="minorHAnsi"/>
        </w:rPr>
        <w:t>3</w:t>
      </w:r>
      <w:r w:rsidR="006C3805" w:rsidRPr="00F10734">
        <w:rPr>
          <w:rFonts w:asciiTheme="minorHAnsi" w:hAnsiTheme="minorHAnsi" w:cstheme="minorHAnsi"/>
        </w:rPr>
        <w:t>0</w:t>
      </w:r>
      <w:r w:rsidRPr="00F10734">
        <w:rPr>
          <w:rFonts w:asciiTheme="minorHAnsi" w:hAnsiTheme="minorHAnsi" w:cstheme="minorHAnsi"/>
        </w:rPr>
        <w:t>.0</w:t>
      </w:r>
      <w:r w:rsidR="006C3805" w:rsidRPr="00F10734">
        <w:rPr>
          <w:rFonts w:asciiTheme="minorHAnsi" w:hAnsiTheme="minorHAnsi" w:cstheme="minorHAnsi"/>
        </w:rPr>
        <w:t>9</w:t>
      </w:r>
      <w:r w:rsidRPr="00F10734">
        <w:rPr>
          <w:rFonts w:asciiTheme="minorHAnsi" w:hAnsiTheme="minorHAnsi" w:cstheme="minorHAnsi"/>
        </w:rPr>
        <w:t xml:space="preserve">.2028. godine), </w:t>
      </w:r>
    </w:p>
    <w:p w14:paraId="0BD33E71" w14:textId="2010F421" w:rsidR="006C3805" w:rsidRPr="00F10734" w:rsidRDefault="001976DD" w:rsidP="006C3805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F10734">
        <w:rPr>
          <w:rFonts w:asciiTheme="minorHAnsi" w:hAnsiTheme="minorHAnsi" w:cstheme="minorHAnsi"/>
        </w:rPr>
        <w:t xml:space="preserve">kamatna stopa: </w:t>
      </w:r>
      <w:r w:rsidR="004376A1" w:rsidRPr="00F10734">
        <w:rPr>
          <w:rFonts w:asciiTheme="minorHAnsi" w:hAnsiTheme="minorHAnsi" w:cstheme="minorHAnsi"/>
        </w:rPr>
        <w:t>3,2</w:t>
      </w:r>
      <w:r w:rsidR="006C3805" w:rsidRPr="00F10734">
        <w:rPr>
          <w:rFonts w:asciiTheme="minorHAnsi" w:hAnsiTheme="minorHAnsi" w:cstheme="minorHAnsi"/>
        </w:rPr>
        <w:t>1</w:t>
      </w:r>
      <w:r w:rsidR="004376A1" w:rsidRPr="00F10734">
        <w:rPr>
          <w:rFonts w:asciiTheme="minorHAnsi" w:hAnsiTheme="minorHAnsi" w:cstheme="minorHAnsi"/>
        </w:rPr>
        <w:t xml:space="preserve">% godišnje, </w:t>
      </w:r>
      <w:r w:rsidR="006C3805" w:rsidRPr="00F10734">
        <w:rPr>
          <w:rFonts w:asciiTheme="minorHAnsi" w:hAnsiTheme="minorHAnsi" w:cstheme="minorHAnsi"/>
        </w:rPr>
        <w:t>fiksno</w:t>
      </w:r>
    </w:p>
    <w:p w14:paraId="4E00E88D" w14:textId="2257B45B" w:rsidR="006C3805" w:rsidRPr="00F10734" w:rsidRDefault="006C3805" w:rsidP="006C3805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F10734">
        <w:rPr>
          <w:rFonts w:asciiTheme="minorHAnsi" w:hAnsiTheme="minorHAnsi" w:cstheme="minorHAnsi"/>
        </w:rPr>
        <w:t>kamatna stopa uz subvenciju: Kamatnu stopu je moguće subvencionirati od strane HBOR-a te bi ista u tom slučaju iznosila 2,43% godišnje, fiksno. Subvenciju kamatne stope moguće je odobravati do iskorištenja sredstava subvencije.</w:t>
      </w:r>
    </w:p>
    <w:p w14:paraId="5C6CDF60" w14:textId="61BDBCBA" w:rsidR="008A0C5E" w:rsidRPr="00F10734" w:rsidRDefault="008A0C5E" w:rsidP="008A0C5E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proofErr w:type="spellStart"/>
      <w:r w:rsidRPr="00F10734">
        <w:rPr>
          <w:rFonts w:asciiTheme="minorHAnsi" w:hAnsiTheme="minorHAnsi" w:cstheme="minorHAnsi"/>
        </w:rPr>
        <w:t>interkalarna</w:t>
      </w:r>
      <w:proofErr w:type="spellEnd"/>
      <w:r w:rsidRPr="00F10734">
        <w:rPr>
          <w:rFonts w:asciiTheme="minorHAnsi" w:hAnsiTheme="minorHAnsi" w:cstheme="minorHAnsi"/>
        </w:rPr>
        <w:t xml:space="preserve"> kamata: </w:t>
      </w:r>
      <w:r w:rsidR="006C3805" w:rsidRPr="00F10734">
        <w:rPr>
          <w:rFonts w:asciiTheme="minorHAnsi" w:hAnsiTheme="minorHAnsi" w:cstheme="minorHAnsi"/>
        </w:rPr>
        <w:t>U</w:t>
      </w:r>
      <w:r w:rsidR="001F1192" w:rsidRPr="00F10734">
        <w:rPr>
          <w:rFonts w:asciiTheme="minorHAnsi" w:hAnsiTheme="minorHAnsi" w:cstheme="minorHAnsi"/>
        </w:rPr>
        <w:t xml:space="preserve"> razdoblju korištenja kredita na iskorišteni iznos kredita obračunavat će se kamata po metodi i u visini redovne. Kamate se obračunavaju i naplaćuju kvartalno.</w:t>
      </w:r>
    </w:p>
    <w:p w14:paraId="57C249D4" w14:textId="588330C9" w:rsidR="00BA59A8" w:rsidRPr="00F10734" w:rsidRDefault="00BA59A8" w:rsidP="008A0C5E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F10734">
        <w:rPr>
          <w:rFonts w:asciiTheme="minorHAnsi" w:hAnsiTheme="minorHAnsi" w:cstheme="minorHAnsi"/>
        </w:rPr>
        <w:t xml:space="preserve">zatezna kamata: U skladu sa </w:t>
      </w:r>
      <w:r w:rsidR="006C3805" w:rsidRPr="00F10734">
        <w:rPr>
          <w:rFonts w:asciiTheme="minorHAnsi" w:hAnsiTheme="minorHAnsi" w:cstheme="minorHAnsi"/>
        </w:rPr>
        <w:t>važećom Odlukom o kamatnim stopama HBOR-a, promjenjiva.</w:t>
      </w:r>
      <w:r w:rsidRPr="00F10734">
        <w:rPr>
          <w:rFonts w:asciiTheme="minorHAnsi" w:hAnsiTheme="minorHAnsi" w:cstheme="minorHAnsi"/>
        </w:rPr>
        <w:t xml:space="preserve"> </w:t>
      </w:r>
    </w:p>
    <w:p w14:paraId="53972FB1" w14:textId="77777777" w:rsidR="00BA59A8" w:rsidRPr="00F10734" w:rsidRDefault="00BA59A8" w:rsidP="008A0C5E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F10734">
        <w:rPr>
          <w:rFonts w:asciiTheme="minorHAnsi" w:hAnsiTheme="minorHAnsi" w:cstheme="minorHAnsi"/>
        </w:rPr>
        <w:t>naknada za obradu kredita: 0,2% jednokratno, prije prvog korištenja,</w:t>
      </w:r>
    </w:p>
    <w:p w14:paraId="6A0D85CB" w14:textId="046F2D12" w:rsidR="00BA59A8" w:rsidRPr="00F10734" w:rsidRDefault="00BA59A8" w:rsidP="008A0C5E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F10734">
        <w:rPr>
          <w:rFonts w:asciiTheme="minorHAnsi" w:hAnsiTheme="minorHAnsi" w:cstheme="minorHAnsi"/>
        </w:rPr>
        <w:t xml:space="preserve">naknadu za rezervaciju sredstava: </w:t>
      </w:r>
      <w:r w:rsidR="006C3805" w:rsidRPr="00F10734">
        <w:rPr>
          <w:rFonts w:asciiTheme="minorHAnsi" w:hAnsiTheme="minorHAnsi" w:cstheme="minorHAnsi"/>
        </w:rPr>
        <w:t>N</w:t>
      </w:r>
      <w:r w:rsidRPr="00F10734">
        <w:rPr>
          <w:rFonts w:asciiTheme="minorHAnsi" w:hAnsiTheme="minorHAnsi" w:cstheme="minorHAnsi"/>
        </w:rPr>
        <w:t xml:space="preserve">e naplaćuje se, </w:t>
      </w:r>
    </w:p>
    <w:p w14:paraId="23D2BD8D" w14:textId="77777777" w:rsidR="00BA59A8" w:rsidRPr="00F10734" w:rsidRDefault="00BA59A8" w:rsidP="008A0C5E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F10734">
        <w:rPr>
          <w:rFonts w:asciiTheme="minorHAnsi" w:hAnsiTheme="minorHAnsi" w:cstheme="minorHAnsi"/>
        </w:rPr>
        <w:t>prijevremena otplata kredita: moguća je uz prethodnu pisanu obavijest HBOR-u, te uključuje plaćanje naknade za prijevremeni povrat kredita,</w:t>
      </w:r>
    </w:p>
    <w:p w14:paraId="66BE86EA" w14:textId="058D35B6" w:rsidR="00BA59A8" w:rsidRPr="00F10734" w:rsidRDefault="00BA59A8" w:rsidP="008A0C5E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F10734">
        <w:rPr>
          <w:rFonts w:asciiTheme="minorHAnsi" w:hAnsiTheme="minorHAnsi" w:cstheme="minorHAnsi"/>
        </w:rPr>
        <w:t>naknada za prijevremenu otplatu kredita: 1% od svote prijevremeno otplaćene glavnice</w:t>
      </w:r>
      <w:r w:rsidR="006C3805" w:rsidRPr="00F10734">
        <w:rPr>
          <w:rFonts w:asciiTheme="minorHAnsi" w:hAnsiTheme="minorHAnsi" w:cstheme="minorHAnsi"/>
        </w:rPr>
        <w:t xml:space="preserve"> (Na primljena sredstava ESI fondova kojima se umanjuje glavnica kredita HVOR-a, neće se obračunavati i naplaćivati naknada za prijevremeni povrat kredita</w:t>
      </w:r>
      <w:r w:rsidR="00BD1804" w:rsidRPr="00F10734">
        <w:rPr>
          <w:rFonts w:asciiTheme="minorHAnsi" w:hAnsiTheme="minorHAnsi" w:cstheme="minorHAnsi"/>
        </w:rPr>
        <w:t>.)</w:t>
      </w:r>
    </w:p>
    <w:p w14:paraId="364A9DCB" w14:textId="0B230D6F" w:rsidR="00BA59A8" w:rsidRPr="00F10734" w:rsidRDefault="00BA59A8" w:rsidP="008A0C5E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F10734">
        <w:rPr>
          <w:rFonts w:asciiTheme="minorHAnsi" w:hAnsiTheme="minorHAnsi" w:cstheme="minorHAnsi"/>
        </w:rPr>
        <w:t xml:space="preserve">instrumenti osiguranja kredita: </w:t>
      </w:r>
      <w:r w:rsidR="00BD1804" w:rsidRPr="00F10734">
        <w:rPr>
          <w:rFonts w:asciiTheme="minorHAnsi" w:hAnsiTheme="minorHAnsi" w:cstheme="minorHAnsi"/>
        </w:rPr>
        <w:t>Z</w:t>
      </w:r>
      <w:r w:rsidRPr="00F10734">
        <w:rPr>
          <w:rFonts w:asciiTheme="minorHAnsi" w:hAnsiTheme="minorHAnsi" w:cstheme="minorHAnsi"/>
        </w:rPr>
        <w:t>adužnice Grada Drniša.</w:t>
      </w:r>
    </w:p>
    <w:p w14:paraId="679445F7" w14:textId="77777777" w:rsidR="00BA59A8" w:rsidRPr="00F10734" w:rsidRDefault="00BA59A8" w:rsidP="00BA59A8">
      <w:pPr>
        <w:pStyle w:val="Odlomakpopisa"/>
        <w:rPr>
          <w:rFonts w:asciiTheme="minorHAnsi" w:hAnsiTheme="minorHAnsi" w:cstheme="minorHAnsi"/>
        </w:rPr>
      </w:pPr>
    </w:p>
    <w:p w14:paraId="3E4D1109" w14:textId="77777777" w:rsidR="001976DD" w:rsidRPr="00F10734" w:rsidRDefault="001976DD" w:rsidP="00D059D4">
      <w:pPr>
        <w:jc w:val="center"/>
        <w:rPr>
          <w:rFonts w:cstheme="minorHAnsi"/>
          <w:b/>
        </w:rPr>
      </w:pPr>
      <w:r w:rsidRPr="00F10734">
        <w:rPr>
          <w:rFonts w:cstheme="minorHAnsi"/>
          <w:b/>
        </w:rPr>
        <w:t>Članak 2.</w:t>
      </w:r>
    </w:p>
    <w:p w14:paraId="2D936D39" w14:textId="77777777" w:rsidR="00D059D4" w:rsidRPr="00F10734" w:rsidRDefault="001976DD" w:rsidP="00D059D4">
      <w:pPr>
        <w:jc w:val="both"/>
        <w:rPr>
          <w:rFonts w:cstheme="minorHAnsi"/>
        </w:rPr>
      </w:pPr>
      <w:r w:rsidRPr="00F10734">
        <w:rPr>
          <w:rFonts w:cstheme="minorHAnsi"/>
        </w:rPr>
        <w:t xml:space="preserve">Ovlašćuje se Gradonačelnik Grada Drniša za zaključivanje Ugovora o kreditu, nakon </w:t>
      </w:r>
      <w:r w:rsidR="004570F4" w:rsidRPr="00F10734">
        <w:rPr>
          <w:rFonts w:cstheme="minorHAnsi"/>
        </w:rPr>
        <w:t>dobivanja</w:t>
      </w:r>
      <w:r w:rsidRPr="00F10734">
        <w:rPr>
          <w:rFonts w:cstheme="minorHAnsi"/>
        </w:rPr>
        <w:t xml:space="preserve"> suglasnosti </w:t>
      </w:r>
      <w:r w:rsidR="004570F4" w:rsidRPr="00F10734">
        <w:rPr>
          <w:rFonts w:cstheme="minorHAnsi"/>
        </w:rPr>
        <w:t xml:space="preserve">ministra financija. </w:t>
      </w:r>
      <w:r w:rsidRPr="00F10734">
        <w:rPr>
          <w:rFonts w:cstheme="minorHAnsi"/>
        </w:rPr>
        <w:t xml:space="preserve">  </w:t>
      </w:r>
    </w:p>
    <w:p w14:paraId="0BD1ED37" w14:textId="52FF95D3" w:rsidR="001976DD" w:rsidRPr="00F10734" w:rsidRDefault="001976DD" w:rsidP="00D059D4">
      <w:pPr>
        <w:jc w:val="both"/>
        <w:rPr>
          <w:rFonts w:cstheme="minorHAnsi"/>
        </w:rPr>
      </w:pPr>
      <w:r w:rsidRPr="00F10734">
        <w:rPr>
          <w:rFonts w:cstheme="minorHAnsi"/>
        </w:rPr>
        <w:t xml:space="preserve">Ovlašćuje se Gradonačelnik Grada Drniša za izdavanje </w:t>
      </w:r>
      <w:r w:rsidR="004570F4" w:rsidRPr="00F10734">
        <w:rPr>
          <w:rFonts w:cstheme="minorHAnsi"/>
        </w:rPr>
        <w:t xml:space="preserve">instrumenata osiguranja: </w:t>
      </w:r>
      <w:r w:rsidRPr="00F10734">
        <w:rPr>
          <w:rFonts w:cstheme="minorHAnsi"/>
        </w:rPr>
        <w:t>zaduž</w:t>
      </w:r>
      <w:r w:rsidR="004570F4" w:rsidRPr="00F10734">
        <w:rPr>
          <w:rFonts w:cstheme="minorHAnsi"/>
        </w:rPr>
        <w:t>nic</w:t>
      </w:r>
      <w:r w:rsidR="00BD1804" w:rsidRPr="00F10734">
        <w:rPr>
          <w:rFonts w:cstheme="minorHAnsi"/>
        </w:rPr>
        <w:t>e.</w:t>
      </w:r>
    </w:p>
    <w:p w14:paraId="033D9442" w14:textId="1E7F50BE" w:rsidR="00E42A26" w:rsidRPr="00F10734" w:rsidRDefault="00E42A26" w:rsidP="00E42A26">
      <w:pPr>
        <w:pStyle w:val="box455823"/>
        <w:shd w:val="clear" w:color="auto" w:fill="FFFFFF"/>
        <w:spacing w:before="34" w:beforeAutospacing="0" w:after="48" w:afterAutospacing="0"/>
        <w:jc w:val="center"/>
        <w:textAlignment w:val="baseline"/>
        <w:rPr>
          <w:rFonts w:asciiTheme="minorHAnsi" w:hAnsiTheme="minorHAnsi" w:cstheme="minorHAnsi"/>
          <w:b/>
          <w:bCs/>
          <w:color w:val="231F20"/>
          <w:sz w:val="22"/>
          <w:szCs w:val="22"/>
        </w:rPr>
      </w:pPr>
      <w:r w:rsidRPr="00F10734">
        <w:rPr>
          <w:rFonts w:asciiTheme="minorHAnsi" w:hAnsiTheme="minorHAnsi" w:cstheme="minorHAnsi"/>
          <w:b/>
          <w:bCs/>
          <w:color w:val="231F20"/>
          <w:sz w:val="22"/>
          <w:szCs w:val="22"/>
        </w:rPr>
        <w:t>Članak 3.</w:t>
      </w:r>
    </w:p>
    <w:p w14:paraId="6C6D58AD" w14:textId="37876E1B" w:rsidR="00E42A26" w:rsidRPr="00F10734" w:rsidRDefault="00E42A26" w:rsidP="00E42A26">
      <w:pPr>
        <w:pStyle w:val="box45582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r w:rsidRPr="00F10734">
        <w:rPr>
          <w:rFonts w:asciiTheme="minorHAnsi" w:hAnsiTheme="minorHAnsi" w:cstheme="minorHAnsi"/>
          <w:color w:val="231F20"/>
          <w:sz w:val="22"/>
          <w:szCs w:val="22"/>
        </w:rPr>
        <w:lastRenderedPageBreak/>
        <w:t xml:space="preserve"> Stupanjem na snagu ove Odluke stavlja se izvan snage Odluka o zaduživanju za realizaciju projekta „Izgradnja i opremanje Centra za starije osobe u Gradu Drnišu“ od 11. prosinca 2023. godine (KLASA:550-01/23-10/3; URBROJ:2182-6-23-13) objavljena u „Službenom glasniku Grada Drniša“ broj 5/2023.</w:t>
      </w:r>
    </w:p>
    <w:p w14:paraId="0395A248" w14:textId="77777777" w:rsidR="00F10734" w:rsidRDefault="00F10734" w:rsidP="00D059D4">
      <w:pPr>
        <w:jc w:val="center"/>
        <w:rPr>
          <w:rFonts w:cstheme="minorHAnsi"/>
          <w:b/>
        </w:rPr>
      </w:pPr>
    </w:p>
    <w:p w14:paraId="0F8611BA" w14:textId="7029830E" w:rsidR="001976DD" w:rsidRPr="00F10734" w:rsidRDefault="001976DD" w:rsidP="00D059D4">
      <w:pPr>
        <w:jc w:val="center"/>
        <w:rPr>
          <w:rFonts w:cstheme="minorHAnsi"/>
          <w:b/>
        </w:rPr>
      </w:pPr>
      <w:r w:rsidRPr="00F10734">
        <w:rPr>
          <w:rFonts w:cstheme="minorHAnsi"/>
          <w:b/>
        </w:rPr>
        <w:t xml:space="preserve">Članak </w:t>
      </w:r>
      <w:r w:rsidR="00E42A26" w:rsidRPr="00F10734">
        <w:rPr>
          <w:rFonts w:cstheme="minorHAnsi"/>
          <w:b/>
        </w:rPr>
        <w:t>4</w:t>
      </w:r>
      <w:r w:rsidRPr="00F10734">
        <w:rPr>
          <w:rFonts w:cstheme="minorHAnsi"/>
          <w:b/>
        </w:rPr>
        <w:t>.</w:t>
      </w:r>
    </w:p>
    <w:p w14:paraId="2562CFA2" w14:textId="13AB6D02" w:rsidR="001976DD" w:rsidRPr="00F10734" w:rsidRDefault="001976DD" w:rsidP="00D059D4">
      <w:pPr>
        <w:jc w:val="both"/>
        <w:rPr>
          <w:rFonts w:cstheme="minorHAnsi"/>
        </w:rPr>
      </w:pPr>
      <w:r w:rsidRPr="00F10734">
        <w:rPr>
          <w:rFonts w:cstheme="minorHAnsi"/>
        </w:rPr>
        <w:t>Ova Odluka stupa na snagu</w:t>
      </w:r>
      <w:r w:rsidR="000378CF">
        <w:rPr>
          <w:rFonts w:cstheme="minorHAnsi"/>
        </w:rPr>
        <w:t xml:space="preserve"> osmog  dana od dana objave </w:t>
      </w:r>
      <w:bookmarkStart w:id="0" w:name="_GoBack"/>
      <w:bookmarkEnd w:id="0"/>
      <w:r w:rsidR="00774F46" w:rsidRPr="00F10734">
        <w:rPr>
          <w:rFonts w:cstheme="minorHAnsi"/>
        </w:rPr>
        <w:t>, a objavit će se u „Službenom glasniku Grada Drniša“.</w:t>
      </w:r>
      <w:r w:rsidRPr="00F10734">
        <w:rPr>
          <w:rFonts w:cstheme="minorHAnsi"/>
        </w:rPr>
        <w:t xml:space="preserve"> </w:t>
      </w:r>
    </w:p>
    <w:p w14:paraId="5AC44321" w14:textId="7B6709E1" w:rsidR="001976DD" w:rsidRPr="00F10734" w:rsidRDefault="001976DD" w:rsidP="001976DD">
      <w:pPr>
        <w:rPr>
          <w:rFonts w:cstheme="minorHAnsi"/>
        </w:rPr>
      </w:pPr>
      <w:r w:rsidRPr="00F10734">
        <w:rPr>
          <w:rFonts w:cstheme="minorHAnsi"/>
        </w:rPr>
        <w:t xml:space="preserve">KLASA: </w:t>
      </w:r>
      <w:r w:rsidR="00E42A26" w:rsidRPr="00F10734">
        <w:rPr>
          <w:rFonts w:cstheme="minorHAnsi"/>
        </w:rPr>
        <w:t>550-01/23-10/3</w:t>
      </w:r>
    </w:p>
    <w:p w14:paraId="36503B8E" w14:textId="09A2EDC9" w:rsidR="001976DD" w:rsidRPr="00F10734" w:rsidRDefault="001976DD" w:rsidP="001976DD">
      <w:pPr>
        <w:rPr>
          <w:rFonts w:cstheme="minorHAnsi"/>
        </w:rPr>
      </w:pPr>
      <w:r w:rsidRPr="00F10734">
        <w:rPr>
          <w:rFonts w:cstheme="minorHAnsi"/>
        </w:rPr>
        <w:t xml:space="preserve">URBROJ: </w:t>
      </w:r>
      <w:r w:rsidR="00E42A26" w:rsidRPr="00F10734">
        <w:rPr>
          <w:rFonts w:cstheme="minorHAnsi"/>
        </w:rPr>
        <w:t>2182-6-25-</w:t>
      </w:r>
    </w:p>
    <w:p w14:paraId="3F098603" w14:textId="000D2C57" w:rsidR="001976DD" w:rsidRPr="00F10734" w:rsidRDefault="001976DD" w:rsidP="001976DD">
      <w:pPr>
        <w:rPr>
          <w:rFonts w:cstheme="minorHAnsi"/>
        </w:rPr>
      </w:pPr>
      <w:r w:rsidRPr="00F10734">
        <w:rPr>
          <w:rFonts w:cstheme="minorHAnsi"/>
        </w:rPr>
        <w:t>Drniš, _________ 202</w:t>
      </w:r>
      <w:r w:rsidR="00E42A26" w:rsidRPr="00F10734">
        <w:rPr>
          <w:rFonts w:cstheme="minorHAnsi"/>
        </w:rPr>
        <w:t>5</w:t>
      </w:r>
      <w:r w:rsidRPr="00F10734">
        <w:rPr>
          <w:rFonts w:cstheme="minorHAnsi"/>
        </w:rPr>
        <w:t xml:space="preserve">. </w:t>
      </w:r>
    </w:p>
    <w:p w14:paraId="6B66E93E" w14:textId="77777777" w:rsidR="00A155DA" w:rsidRPr="00F10734" w:rsidRDefault="00A155DA" w:rsidP="00B0735E">
      <w:pPr>
        <w:pStyle w:val="box455823"/>
        <w:shd w:val="clear" w:color="auto" w:fill="FFFFFF"/>
        <w:spacing w:before="0" w:beforeAutospacing="0" w:after="0" w:afterAutospacing="0"/>
        <w:ind w:left="408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660EECA7" w14:textId="77777777" w:rsidR="00B0735E" w:rsidRPr="00F10734" w:rsidRDefault="00B0735E" w:rsidP="00B0735E">
      <w:pPr>
        <w:pStyle w:val="box455823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r w:rsidRPr="00F10734">
        <w:rPr>
          <w:rFonts w:asciiTheme="minorHAnsi" w:hAnsiTheme="minorHAnsi" w:cstheme="minorHAnsi"/>
          <w:color w:val="231F20"/>
          <w:sz w:val="22"/>
          <w:szCs w:val="22"/>
        </w:rPr>
        <w:t>GRAD DRNIŠ</w:t>
      </w:r>
    </w:p>
    <w:p w14:paraId="6599A9B1" w14:textId="77777777" w:rsidR="00B0735E" w:rsidRPr="00F10734" w:rsidRDefault="00B0735E" w:rsidP="00B0735E">
      <w:pPr>
        <w:pStyle w:val="box455823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r w:rsidRPr="00F10734">
        <w:rPr>
          <w:rFonts w:asciiTheme="minorHAnsi" w:hAnsiTheme="minorHAnsi" w:cstheme="minorHAnsi"/>
          <w:color w:val="231F20"/>
          <w:sz w:val="22"/>
          <w:szCs w:val="22"/>
        </w:rPr>
        <w:t>GRADSKO VIJEĆE</w:t>
      </w:r>
    </w:p>
    <w:p w14:paraId="530FE223" w14:textId="77777777" w:rsidR="00B0735E" w:rsidRPr="00F10734" w:rsidRDefault="00B0735E" w:rsidP="00B0735E">
      <w:pPr>
        <w:pStyle w:val="box455823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236335B4" w14:textId="77777777" w:rsidR="00B0735E" w:rsidRPr="00F10734" w:rsidRDefault="00B0735E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r w:rsidRPr="00F10734">
        <w:rPr>
          <w:rFonts w:asciiTheme="minorHAnsi" w:hAnsiTheme="minorHAnsi" w:cstheme="minorHAnsi"/>
          <w:color w:val="231F20"/>
          <w:sz w:val="22"/>
          <w:szCs w:val="22"/>
        </w:rPr>
        <w:t>Predsjednik</w:t>
      </w:r>
    </w:p>
    <w:p w14:paraId="300FFDD4" w14:textId="350121EE" w:rsidR="00B0735E" w:rsidRPr="00F10734" w:rsidRDefault="00B0735E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r w:rsidRPr="00F10734">
        <w:rPr>
          <w:rFonts w:asciiTheme="minorHAnsi" w:hAnsiTheme="minorHAnsi" w:cstheme="minorHAnsi"/>
          <w:color w:val="231F20"/>
          <w:sz w:val="22"/>
          <w:szCs w:val="22"/>
        </w:rPr>
        <w:br/>
      </w:r>
      <w:r w:rsidRPr="00F10734">
        <w:rPr>
          <w:rStyle w:val="bold"/>
          <w:rFonts w:asciiTheme="minorHAnsi" w:hAnsiTheme="minorHAnsi" w:cstheme="minorHAnsi"/>
          <w:color w:val="231F20"/>
          <w:sz w:val="22"/>
          <w:szCs w:val="22"/>
          <w:bdr w:val="none" w:sz="0" w:space="0" w:color="auto" w:frame="1"/>
        </w:rPr>
        <w:t>Tomislav Dželalija, </w:t>
      </w:r>
      <w:proofErr w:type="spellStart"/>
      <w:r w:rsidR="00A155DA" w:rsidRPr="00F10734">
        <w:rPr>
          <w:rStyle w:val="bold"/>
          <w:rFonts w:asciiTheme="minorHAnsi" w:hAnsiTheme="minorHAnsi" w:cstheme="minorHAnsi"/>
          <w:color w:val="231F20"/>
          <w:sz w:val="22"/>
          <w:szCs w:val="22"/>
          <w:bdr w:val="none" w:sz="0" w:space="0" w:color="auto" w:frame="1"/>
        </w:rPr>
        <w:t>dipl.ing</w:t>
      </w:r>
      <w:proofErr w:type="spellEnd"/>
      <w:r w:rsidR="00A155DA" w:rsidRPr="00F10734">
        <w:rPr>
          <w:rStyle w:val="bold"/>
          <w:rFonts w:asciiTheme="minorHAnsi" w:hAnsiTheme="minorHAnsi" w:cstheme="minorHAnsi"/>
          <w:color w:val="231F20"/>
          <w:sz w:val="22"/>
          <w:szCs w:val="22"/>
          <w:bdr w:val="none" w:sz="0" w:space="0" w:color="auto" w:frame="1"/>
        </w:rPr>
        <w:t>.</w:t>
      </w:r>
    </w:p>
    <w:p w14:paraId="708973C5" w14:textId="77777777" w:rsidR="00D059D4" w:rsidRPr="00F10734" w:rsidRDefault="00D059D4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642B50E3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6CCB0C46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44A2C447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3350B288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39DDE3F9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107F95C3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09A10633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01779A63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646A82DB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652B02EB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3E1BE43D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4F0FBD18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29D61FC1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168D0762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3B60ED07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107208C0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01C6741D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35611F27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69F4F1DC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74EF7BD5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226E7E56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03F168B6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5F4ABBD2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51145FD9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15ADEBA4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4C35A3F5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40DFBC61" w14:textId="77777777" w:rsidR="004D3BD7" w:rsidRPr="00F10734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5BF5F468" w14:textId="77777777" w:rsidR="00D059D4" w:rsidRPr="00F10734" w:rsidRDefault="00D059D4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14:paraId="05AE187F" w14:textId="77777777" w:rsidR="00D059D4" w:rsidRPr="00F10734" w:rsidRDefault="00D059D4" w:rsidP="00D059D4">
      <w:pPr>
        <w:pStyle w:val="box455823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F10734">
        <w:rPr>
          <w:rFonts w:asciiTheme="minorHAnsi" w:hAnsiTheme="minorHAnsi" w:cstheme="minorHAnsi"/>
          <w:sz w:val="22"/>
          <w:szCs w:val="22"/>
        </w:rPr>
        <w:t>O B R A Z L O Ž E NJ E</w:t>
      </w:r>
    </w:p>
    <w:p w14:paraId="02EE6408" w14:textId="77777777" w:rsidR="00D059D4" w:rsidRPr="00F10734" w:rsidRDefault="00D059D4" w:rsidP="00D059D4">
      <w:pPr>
        <w:pStyle w:val="box455823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9786592" w14:textId="77777777" w:rsidR="00E42A26" w:rsidRPr="00F10734" w:rsidRDefault="00D059D4" w:rsidP="00E831FA">
      <w:pPr>
        <w:pStyle w:val="box45582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10734">
        <w:rPr>
          <w:rFonts w:asciiTheme="minorHAnsi" w:hAnsiTheme="minorHAnsi" w:cstheme="minorHAnsi"/>
          <w:sz w:val="22"/>
          <w:szCs w:val="22"/>
        </w:rPr>
        <w:t>Zakonska osnova za donošenje ove Odluke sadržana je u članku 12</w:t>
      </w:r>
      <w:r w:rsidR="004D3BD7" w:rsidRPr="00F10734">
        <w:rPr>
          <w:rFonts w:asciiTheme="minorHAnsi" w:hAnsiTheme="minorHAnsi" w:cstheme="minorHAnsi"/>
          <w:sz w:val="22"/>
          <w:szCs w:val="22"/>
        </w:rPr>
        <w:t>2</w:t>
      </w:r>
      <w:r w:rsidRPr="00F10734">
        <w:rPr>
          <w:rFonts w:asciiTheme="minorHAnsi" w:hAnsiTheme="minorHAnsi" w:cstheme="minorHAnsi"/>
          <w:sz w:val="22"/>
          <w:szCs w:val="22"/>
        </w:rPr>
        <w:t>. stavku 1.  Zakona o proračunu (NN14</w:t>
      </w:r>
      <w:r w:rsidR="004D3BD7" w:rsidRPr="00F10734">
        <w:rPr>
          <w:rFonts w:asciiTheme="minorHAnsi" w:hAnsiTheme="minorHAnsi" w:cstheme="minorHAnsi"/>
          <w:sz w:val="22"/>
          <w:szCs w:val="22"/>
        </w:rPr>
        <w:t xml:space="preserve">4/21), kojim je propisano da ako se </w:t>
      </w:r>
      <w:r w:rsidR="004D3BD7" w:rsidRPr="00F10734">
        <w:rPr>
          <w:rFonts w:asciiTheme="minorHAnsi" w:hAnsiTheme="minorHAnsi" w:cstheme="minorHAnsi"/>
          <w:sz w:val="22"/>
          <w:szCs w:val="22"/>
          <w:shd w:val="clear" w:color="auto" w:fill="FFFFFF"/>
        </w:rPr>
        <w:t>jedinica lokalne i područne (regionalne) samouprave dugoročno zadužuje najviše do iznosa ukupno prihvatljivog troška projekta sufinanciranog iz sredstava Europske unije, suglasnost daje ministar financija.</w:t>
      </w:r>
      <w:r w:rsidRPr="00F10734">
        <w:rPr>
          <w:rFonts w:asciiTheme="minorHAnsi" w:hAnsiTheme="minorHAnsi" w:cstheme="minorHAnsi"/>
          <w:sz w:val="22"/>
          <w:szCs w:val="22"/>
        </w:rPr>
        <w:t xml:space="preserve"> Postupak dobivanja suglasnosti za zaduži</w:t>
      </w:r>
      <w:r w:rsidR="004D3BD7" w:rsidRPr="00F10734">
        <w:rPr>
          <w:rFonts w:asciiTheme="minorHAnsi" w:hAnsiTheme="minorHAnsi" w:cstheme="minorHAnsi"/>
          <w:sz w:val="22"/>
          <w:szCs w:val="22"/>
        </w:rPr>
        <w:t>vanje od Ministarstva financija,</w:t>
      </w:r>
      <w:r w:rsidRPr="00F10734">
        <w:rPr>
          <w:rFonts w:asciiTheme="minorHAnsi" w:hAnsiTheme="minorHAnsi" w:cstheme="minorHAnsi"/>
          <w:sz w:val="22"/>
          <w:szCs w:val="22"/>
        </w:rPr>
        <w:t xml:space="preserve"> te prilozi i dokumentacija koji se prilažu uz zahtjev uređeni su Pravilnikom o postupku zaduživanja te davanja jamstva i suglasnosti jedinica lokalne i područne (regionalne) samouprave (NN 67/22.). </w:t>
      </w:r>
    </w:p>
    <w:p w14:paraId="0E803A9C" w14:textId="3688CEF5" w:rsidR="00D059D4" w:rsidRPr="00F10734" w:rsidRDefault="00D059D4" w:rsidP="00E831FA">
      <w:pPr>
        <w:pStyle w:val="box45582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10734">
        <w:rPr>
          <w:rFonts w:asciiTheme="minorHAnsi" w:hAnsiTheme="minorHAnsi" w:cstheme="minorHAnsi"/>
          <w:sz w:val="22"/>
          <w:szCs w:val="22"/>
        </w:rPr>
        <w:t>U Proračunu Grada Drniša za 202</w:t>
      </w:r>
      <w:r w:rsidR="00E42A26" w:rsidRPr="00F10734">
        <w:rPr>
          <w:rFonts w:asciiTheme="minorHAnsi" w:hAnsiTheme="minorHAnsi" w:cstheme="minorHAnsi"/>
          <w:sz w:val="22"/>
          <w:szCs w:val="22"/>
        </w:rPr>
        <w:t>5</w:t>
      </w:r>
      <w:r w:rsidRPr="00F10734">
        <w:rPr>
          <w:rFonts w:asciiTheme="minorHAnsi" w:hAnsiTheme="minorHAnsi" w:cstheme="minorHAnsi"/>
          <w:sz w:val="22"/>
          <w:szCs w:val="22"/>
        </w:rPr>
        <w:t xml:space="preserve">. godinu planiran je kapitalni projekt „Izgradnja i opremanje Centra za starije osobe Grada Drniša“, koji se odnosi na izgradnju i opremanje budućeg Centra za starije osobe u Drnišu. </w:t>
      </w:r>
    </w:p>
    <w:p w14:paraId="05099FE1" w14:textId="7504BBA2" w:rsidR="00E42A26" w:rsidRPr="00F10734" w:rsidRDefault="00E42A26" w:rsidP="00E831FA">
      <w:pPr>
        <w:pStyle w:val="box455823"/>
        <w:shd w:val="clear" w:color="auto" w:fill="FFFFFF"/>
        <w:spacing w:before="0" w:beforeAutospacing="0" w:after="48" w:afterAutospacing="0"/>
        <w:ind w:firstLine="709"/>
        <w:jc w:val="both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r w:rsidRPr="00F10734">
        <w:rPr>
          <w:rFonts w:asciiTheme="minorHAnsi" w:hAnsiTheme="minorHAnsi" w:cstheme="minorHAnsi"/>
          <w:sz w:val="22"/>
          <w:szCs w:val="22"/>
        </w:rPr>
        <w:t xml:space="preserve">Gradsko vijeće Grada Drniša donijelo je </w:t>
      </w:r>
      <w:r w:rsidR="00F10734" w:rsidRPr="00F10734">
        <w:rPr>
          <w:rFonts w:asciiTheme="minorHAnsi" w:hAnsiTheme="minorHAnsi" w:cstheme="minorHAnsi"/>
          <w:sz w:val="22"/>
          <w:szCs w:val="22"/>
        </w:rPr>
        <w:t xml:space="preserve">na svojoj 17. sjednici održanoj 11. prosinca 2023. godine </w:t>
      </w:r>
      <w:r w:rsidRPr="00F10734">
        <w:rPr>
          <w:rFonts w:asciiTheme="minorHAnsi" w:hAnsiTheme="minorHAnsi" w:cstheme="minorHAnsi"/>
          <w:color w:val="231F20"/>
          <w:sz w:val="22"/>
          <w:szCs w:val="22"/>
        </w:rPr>
        <w:t>Odluk</w:t>
      </w:r>
      <w:r w:rsidR="00F10734" w:rsidRPr="00F10734">
        <w:rPr>
          <w:rFonts w:asciiTheme="minorHAnsi" w:hAnsiTheme="minorHAnsi" w:cstheme="minorHAnsi"/>
          <w:color w:val="231F20"/>
          <w:sz w:val="22"/>
          <w:szCs w:val="22"/>
        </w:rPr>
        <w:t>u</w:t>
      </w:r>
      <w:r w:rsidRPr="00F10734">
        <w:rPr>
          <w:rFonts w:asciiTheme="minorHAnsi" w:hAnsiTheme="minorHAnsi" w:cstheme="minorHAnsi"/>
          <w:color w:val="231F20"/>
          <w:sz w:val="22"/>
          <w:szCs w:val="22"/>
        </w:rPr>
        <w:t xml:space="preserve"> o zaduživanju za realizaciju projekta „Izgradnja i opremanje Centra za starije osobe u Gradu Drnišu“ </w:t>
      </w:r>
      <w:r w:rsidR="00F10734" w:rsidRPr="00F10734">
        <w:rPr>
          <w:rFonts w:asciiTheme="minorHAnsi" w:hAnsiTheme="minorHAnsi" w:cstheme="minorHAnsi"/>
          <w:color w:val="231F20"/>
          <w:sz w:val="22"/>
          <w:szCs w:val="22"/>
        </w:rPr>
        <w:t>(</w:t>
      </w:r>
      <w:r w:rsidRPr="00F10734">
        <w:rPr>
          <w:rFonts w:asciiTheme="minorHAnsi" w:hAnsiTheme="minorHAnsi" w:cstheme="minorHAnsi"/>
          <w:color w:val="231F20"/>
          <w:sz w:val="22"/>
          <w:szCs w:val="22"/>
        </w:rPr>
        <w:t>KLASA:550-01/23-10/3; URBROJ:2182-6-23-13)</w:t>
      </w:r>
      <w:r w:rsidR="00F10734" w:rsidRPr="00F10734">
        <w:rPr>
          <w:rFonts w:asciiTheme="minorHAnsi" w:hAnsiTheme="minorHAnsi" w:cstheme="minorHAnsi"/>
          <w:color w:val="231F20"/>
          <w:sz w:val="22"/>
          <w:szCs w:val="22"/>
        </w:rPr>
        <w:t>, koja je</w:t>
      </w:r>
      <w:r w:rsidRPr="00F10734">
        <w:rPr>
          <w:rFonts w:asciiTheme="minorHAnsi" w:hAnsiTheme="minorHAnsi" w:cstheme="minorHAnsi"/>
          <w:color w:val="231F20"/>
          <w:sz w:val="22"/>
          <w:szCs w:val="22"/>
        </w:rPr>
        <w:t xml:space="preserve"> objavljena u „Službenom glasniku Grada Drniša“ broj 5/2023.</w:t>
      </w:r>
    </w:p>
    <w:p w14:paraId="5F56F92E" w14:textId="5D473C13" w:rsidR="00E42A26" w:rsidRPr="00F10734" w:rsidRDefault="00E42A26" w:rsidP="00E831FA">
      <w:pPr>
        <w:pStyle w:val="box45582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1D6AA60" w14:textId="77777777" w:rsidR="00E42A26" w:rsidRPr="00F10734" w:rsidRDefault="00E42A26" w:rsidP="00E831FA">
      <w:pPr>
        <w:spacing w:after="0" w:line="240" w:lineRule="auto"/>
        <w:ind w:firstLine="709"/>
        <w:jc w:val="both"/>
        <w:rPr>
          <w:rFonts w:eastAsia="Times New Roman" w:cstheme="minorHAnsi"/>
          <w:lang w:eastAsia="hr-HR"/>
        </w:rPr>
      </w:pPr>
      <w:r w:rsidRPr="00F10734">
        <w:rPr>
          <w:rFonts w:eastAsia="Times New Roman" w:cstheme="minorHAnsi"/>
          <w:lang w:eastAsia="hr-HR"/>
        </w:rPr>
        <w:t xml:space="preserve">Ministarstvo financija je temeljem zahtjeva Grada Drniša za dobivanje suglasnosti za zaduženje kod Hrvatske banke za obnovu i razvitak u iznosu od 4.900.000,00 eura, s rokom otplate kredita od 15 godina uključujući dvije godine počeka, u jednakim mjesečnim ratama, uz fiksnu kamatnu stopu 3,20 % godišnje i jednokratnu naknadu za obradu kredita u visini od 0,2% od iznosa odobrenog kredita istu i odobrilo, te je izdana suglasnost na zaduženje Ministarstva financija (KLASA:403-02/24-01/7, URBROJ: 513-05-06-24-2) dana 6. ožujka 2024. godine.  </w:t>
      </w:r>
    </w:p>
    <w:p w14:paraId="1352DFD9" w14:textId="77777777" w:rsidR="00E42A26" w:rsidRPr="00F10734" w:rsidRDefault="00E42A26" w:rsidP="00E831FA">
      <w:pPr>
        <w:spacing w:after="0" w:line="240" w:lineRule="auto"/>
        <w:ind w:firstLine="709"/>
        <w:jc w:val="both"/>
        <w:rPr>
          <w:rFonts w:eastAsia="Times New Roman" w:cstheme="minorHAnsi"/>
          <w:lang w:eastAsia="hr-HR"/>
        </w:rPr>
      </w:pPr>
      <w:r w:rsidRPr="00F10734">
        <w:rPr>
          <w:rFonts w:eastAsia="Times New Roman" w:cstheme="minorHAnsi"/>
          <w:lang w:eastAsia="hr-HR"/>
        </w:rPr>
        <w:t>Sredstva su bila namijenjena za financiranje kapitalnog projekta „Izgradnja i opremanje Centra za starije osobe u Gradu Drnišu“, koji je sufinanciran iz sredstava Europske unije temeljem Ugovora o dodjeli bespovratnih sredstava za projekte koji se financiraju iz Mehanizma za oporavak i otpornost 2021.-2026., broj: NPOO.C4.3.R3-14.01.0016 sklopljenog 2. listopada 2023. godine između Ministarstva rada, mirovinskog sustava, obitelji i socijalne politike, Hrvatskog zavoda za zapošljavanje i Grada Drniša.</w:t>
      </w:r>
    </w:p>
    <w:p w14:paraId="6D62396F" w14:textId="77777777" w:rsidR="00E42A26" w:rsidRPr="00F10734" w:rsidRDefault="00E42A26" w:rsidP="00E831FA">
      <w:pPr>
        <w:spacing w:after="0" w:line="240" w:lineRule="auto"/>
        <w:ind w:firstLine="709"/>
        <w:jc w:val="both"/>
        <w:rPr>
          <w:rFonts w:eastAsia="Times New Roman" w:cstheme="minorHAnsi"/>
          <w:lang w:eastAsia="hr-HR"/>
        </w:rPr>
      </w:pPr>
      <w:r w:rsidRPr="00F10734">
        <w:rPr>
          <w:rFonts w:eastAsia="Times New Roman" w:cstheme="minorHAnsi"/>
          <w:lang w:eastAsia="hr-HR"/>
        </w:rPr>
        <w:t>Sukladno Ugovoru, ukupni prihvatljivi troškovi navedenog projekta određeni su u iznosu od 10.432.926,70 eura, dok se bespovratna sredstva dodjeljuju u iznosu od 5.454.000,00 eura.</w:t>
      </w:r>
    </w:p>
    <w:p w14:paraId="6C423A9A" w14:textId="7284F854" w:rsidR="00E42A26" w:rsidRDefault="00E42A26" w:rsidP="00E831FA">
      <w:pPr>
        <w:spacing w:after="0" w:line="240" w:lineRule="auto"/>
        <w:ind w:firstLine="709"/>
        <w:jc w:val="both"/>
        <w:rPr>
          <w:rFonts w:eastAsia="Times New Roman" w:cstheme="minorHAnsi"/>
          <w:lang w:eastAsia="hr-HR"/>
        </w:rPr>
      </w:pPr>
      <w:r w:rsidRPr="00F10734">
        <w:rPr>
          <w:rFonts w:eastAsia="Times New Roman" w:cstheme="minorHAnsi"/>
          <w:lang w:eastAsia="hr-HR"/>
        </w:rPr>
        <w:t xml:space="preserve">Nakon provedenog otvorenog postupka javne nabave radova za Izgradnju Centra za starije osobe, sve pristigle ponude su bile znatno veće od procijenjene vrijednosti, te smo I. postupak javne nabave poništili, </w:t>
      </w:r>
      <w:r w:rsidR="00E831FA">
        <w:rPr>
          <w:rFonts w:eastAsia="Times New Roman" w:cstheme="minorHAnsi"/>
          <w:lang w:eastAsia="hr-HR"/>
        </w:rPr>
        <w:t>te ponovili postupak</w:t>
      </w:r>
      <w:r w:rsidRPr="00F10734">
        <w:rPr>
          <w:rFonts w:eastAsia="Times New Roman" w:cstheme="minorHAnsi"/>
          <w:lang w:eastAsia="hr-HR"/>
        </w:rPr>
        <w:t xml:space="preserve"> javne nabave</w:t>
      </w:r>
      <w:r w:rsidR="00E831FA">
        <w:rPr>
          <w:rFonts w:eastAsia="Times New Roman" w:cstheme="minorHAnsi"/>
          <w:lang w:eastAsia="hr-HR"/>
        </w:rPr>
        <w:t>.</w:t>
      </w:r>
      <w:r w:rsidRPr="00F10734">
        <w:rPr>
          <w:rFonts w:eastAsia="Times New Roman" w:cstheme="minorHAnsi"/>
          <w:lang w:eastAsia="hr-HR"/>
        </w:rPr>
        <w:t xml:space="preserve"> </w:t>
      </w:r>
    </w:p>
    <w:p w14:paraId="31DA48CE" w14:textId="77777777" w:rsidR="00E831FA" w:rsidRDefault="00E831FA" w:rsidP="00E831FA">
      <w:pPr>
        <w:pStyle w:val="StandardWeb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Ponovljeni postupak javne nabave radova na izgradnji Centra za starije osobe u Gradu Drnišu objavljen je 27. srpnja 2024. godine. Rok za dostavu ponuda je bio 4. listopada 2024. godine, te su u danom roku pristigle 2 ponude:</w:t>
      </w: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100"/>
        <w:gridCol w:w="3603"/>
        <w:gridCol w:w="2180"/>
        <w:gridCol w:w="2179"/>
      </w:tblGrid>
      <w:tr w:rsidR="00E831FA" w:rsidRPr="00960D6D" w14:paraId="27212E56" w14:textId="77777777" w:rsidTr="00E831FA">
        <w:trPr>
          <w:jc w:val="center"/>
        </w:trPr>
        <w:tc>
          <w:tcPr>
            <w:tcW w:w="607" w:type="pct"/>
          </w:tcPr>
          <w:p w14:paraId="1E27DA15" w14:textId="77777777" w:rsidR="00E831FA" w:rsidRPr="00960D6D" w:rsidRDefault="00E831FA" w:rsidP="00E831FA">
            <w:pPr>
              <w:pStyle w:val="StandardWeb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0D6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Red. br.</w:t>
            </w:r>
          </w:p>
        </w:tc>
        <w:tc>
          <w:tcPr>
            <w:tcW w:w="1988" w:type="pct"/>
          </w:tcPr>
          <w:p w14:paraId="79E629E6" w14:textId="77777777" w:rsidR="00E831FA" w:rsidRPr="00960D6D" w:rsidRDefault="00E831FA" w:rsidP="00E831FA">
            <w:pPr>
              <w:pStyle w:val="StandardWeb"/>
              <w:ind w:firstLine="709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0D6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Ponuditelj</w:t>
            </w:r>
          </w:p>
        </w:tc>
        <w:tc>
          <w:tcPr>
            <w:tcW w:w="1203" w:type="pct"/>
          </w:tcPr>
          <w:p w14:paraId="0DE24755" w14:textId="77777777" w:rsidR="00E831FA" w:rsidRPr="00960D6D" w:rsidRDefault="00E831FA" w:rsidP="00E831FA">
            <w:pPr>
              <w:pStyle w:val="StandardWeb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0D6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Ukupna cijena bez PDV-a</w:t>
            </w:r>
          </w:p>
        </w:tc>
        <w:tc>
          <w:tcPr>
            <w:tcW w:w="1202" w:type="pct"/>
          </w:tcPr>
          <w:p w14:paraId="3CD73536" w14:textId="77777777" w:rsidR="00E831FA" w:rsidRPr="00960D6D" w:rsidRDefault="00E831FA" w:rsidP="00E831FA">
            <w:pPr>
              <w:pStyle w:val="StandardWeb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0D6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Ukupna cijena sa PDV-om</w:t>
            </w:r>
          </w:p>
        </w:tc>
      </w:tr>
      <w:tr w:rsidR="00E831FA" w:rsidRPr="00960D6D" w14:paraId="6AB33777" w14:textId="77777777" w:rsidTr="00E831FA">
        <w:trPr>
          <w:jc w:val="center"/>
        </w:trPr>
        <w:tc>
          <w:tcPr>
            <w:tcW w:w="607" w:type="pct"/>
          </w:tcPr>
          <w:p w14:paraId="3EFB6B4A" w14:textId="77777777" w:rsidR="00E831FA" w:rsidRPr="00960D6D" w:rsidRDefault="00E831FA" w:rsidP="00E831FA">
            <w:pPr>
              <w:pStyle w:val="StandardWeb"/>
              <w:ind w:firstLine="709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0D6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988" w:type="pct"/>
          </w:tcPr>
          <w:p w14:paraId="4E4FCBC0" w14:textId="77777777" w:rsidR="00E831FA" w:rsidRPr="00960D6D" w:rsidRDefault="00E831FA" w:rsidP="00E831FA">
            <w:pPr>
              <w:pStyle w:val="StandardWeb"/>
              <w:ind w:firstLine="709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0D6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RELIANCE d.o.o. Split</w:t>
            </w:r>
          </w:p>
        </w:tc>
        <w:tc>
          <w:tcPr>
            <w:tcW w:w="1203" w:type="pct"/>
          </w:tcPr>
          <w:p w14:paraId="664864BB" w14:textId="77777777" w:rsidR="00E831FA" w:rsidRPr="00960D6D" w:rsidRDefault="00E831FA" w:rsidP="00E831FA">
            <w:pPr>
              <w:pStyle w:val="StandardWeb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0D6D">
              <w:rPr>
                <w:rFonts w:asciiTheme="minorHAnsi" w:hAnsiTheme="minorHAnsi" w:cstheme="minorHAnsi"/>
                <w:sz w:val="22"/>
                <w:szCs w:val="22"/>
              </w:rPr>
              <w:t>11.582.799,70 EUR</w:t>
            </w:r>
          </w:p>
        </w:tc>
        <w:tc>
          <w:tcPr>
            <w:tcW w:w="1202" w:type="pct"/>
          </w:tcPr>
          <w:p w14:paraId="024D4DED" w14:textId="77777777" w:rsidR="00E831FA" w:rsidRPr="00960D6D" w:rsidRDefault="00E831FA" w:rsidP="00E831FA">
            <w:pPr>
              <w:pStyle w:val="StandardWeb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0D6D">
              <w:rPr>
                <w:rFonts w:asciiTheme="minorHAnsi" w:hAnsiTheme="minorHAnsi" w:cstheme="minorHAnsi"/>
                <w:sz w:val="22"/>
                <w:szCs w:val="22"/>
              </w:rPr>
              <w:t>14.478.499,63 EUR</w:t>
            </w:r>
          </w:p>
        </w:tc>
      </w:tr>
      <w:tr w:rsidR="00E831FA" w:rsidRPr="00960D6D" w14:paraId="0D1A1ABD" w14:textId="77777777" w:rsidTr="00E831FA">
        <w:trPr>
          <w:jc w:val="center"/>
        </w:trPr>
        <w:tc>
          <w:tcPr>
            <w:tcW w:w="607" w:type="pct"/>
          </w:tcPr>
          <w:p w14:paraId="7863BD2D" w14:textId="77777777" w:rsidR="00E831FA" w:rsidRPr="00960D6D" w:rsidRDefault="00E831FA" w:rsidP="00E831FA">
            <w:pPr>
              <w:pStyle w:val="StandardWeb"/>
              <w:ind w:firstLine="709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0D6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988" w:type="pct"/>
          </w:tcPr>
          <w:p w14:paraId="255D5C3D" w14:textId="77777777" w:rsidR="00E831FA" w:rsidRPr="00960D6D" w:rsidRDefault="00E831FA" w:rsidP="00E831FA">
            <w:pPr>
              <w:pStyle w:val="StandardWeb"/>
              <w:ind w:firstLine="709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0D6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STRABAG d.o.o. Zagreb</w:t>
            </w:r>
          </w:p>
        </w:tc>
        <w:tc>
          <w:tcPr>
            <w:tcW w:w="1203" w:type="pct"/>
          </w:tcPr>
          <w:p w14:paraId="09A8516D" w14:textId="77777777" w:rsidR="00E831FA" w:rsidRPr="00960D6D" w:rsidRDefault="00E831FA" w:rsidP="00E831FA">
            <w:pPr>
              <w:pStyle w:val="StandardWeb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0D6D">
              <w:rPr>
                <w:rFonts w:asciiTheme="minorHAnsi" w:hAnsiTheme="minorHAnsi" w:cstheme="minorHAnsi"/>
                <w:sz w:val="22"/>
                <w:szCs w:val="22"/>
              </w:rPr>
              <w:t>11.560.788,27 EUR</w:t>
            </w:r>
          </w:p>
        </w:tc>
        <w:tc>
          <w:tcPr>
            <w:tcW w:w="1202" w:type="pct"/>
          </w:tcPr>
          <w:p w14:paraId="19487E18" w14:textId="77777777" w:rsidR="00E831FA" w:rsidRPr="00960D6D" w:rsidRDefault="00E831FA" w:rsidP="00E831FA">
            <w:pPr>
              <w:pStyle w:val="StandardWeb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0D6D">
              <w:rPr>
                <w:rFonts w:asciiTheme="minorHAnsi" w:hAnsiTheme="minorHAnsi" w:cstheme="minorHAnsi"/>
                <w:sz w:val="22"/>
                <w:szCs w:val="22"/>
              </w:rPr>
              <w:t>14.450.985,34 EUR</w:t>
            </w:r>
          </w:p>
        </w:tc>
      </w:tr>
    </w:tbl>
    <w:p w14:paraId="0F52C3A1" w14:textId="77777777" w:rsidR="00E831FA" w:rsidRPr="00F10734" w:rsidRDefault="00E831FA" w:rsidP="00E831FA">
      <w:pPr>
        <w:spacing w:after="0" w:line="240" w:lineRule="auto"/>
        <w:ind w:firstLine="709"/>
        <w:jc w:val="both"/>
        <w:rPr>
          <w:rFonts w:eastAsia="Times New Roman" w:cstheme="minorHAnsi"/>
          <w:lang w:eastAsia="hr-HR"/>
        </w:rPr>
      </w:pPr>
    </w:p>
    <w:p w14:paraId="43CF19B6" w14:textId="1DB2880C" w:rsidR="00E42A26" w:rsidRPr="00F10734" w:rsidRDefault="00E42A26" w:rsidP="00E831FA">
      <w:pPr>
        <w:spacing w:after="0" w:line="240" w:lineRule="auto"/>
        <w:ind w:firstLine="709"/>
        <w:jc w:val="both"/>
        <w:rPr>
          <w:rFonts w:eastAsia="Times New Roman" w:cstheme="minorHAnsi"/>
          <w:lang w:eastAsia="hr-HR"/>
        </w:rPr>
      </w:pPr>
      <w:r w:rsidRPr="00F10734">
        <w:rPr>
          <w:rFonts w:eastAsia="Times New Roman" w:cstheme="minorHAnsi"/>
          <w:lang w:eastAsia="hr-HR"/>
        </w:rPr>
        <w:t xml:space="preserve">Slijedom svega navedenog, </w:t>
      </w:r>
      <w:r w:rsidR="00F10734" w:rsidRPr="00F10734">
        <w:rPr>
          <w:rFonts w:eastAsia="Times New Roman" w:cstheme="minorHAnsi"/>
          <w:lang w:eastAsia="hr-HR"/>
        </w:rPr>
        <w:t xml:space="preserve">Grad Drniš nije </w:t>
      </w:r>
      <w:r w:rsidRPr="00F10734">
        <w:rPr>
          <w:rFonts w:eastAsia="Times New Roman" w:cstheme="minorHAnsi"/>
          <w:lang w:eastAsia="hr-HR"/>
        </w:rPr>
        <w:t>realizira</w:t>
      </w:r>
      <w:r w:rsidR="00F10734" w:rsidRPr="00F10734">
        <w:rPr>
          <w:rFonts w:eastAsia="Times New Roman" w:cstheme="minorHAnsi"/>
          <w:lang w:eastAsia="hr-HR"/>
        </w:rPr>
        <w:t xml:space="preserve">o </w:t>
      </w:r>
      <w:r w:rsidRPr="00F10734">
        <w:rPr>
          <w:rFonts w:eastAsia="Times New Roman" w:cstheme="minorHAnsi"/>
          <w:lang w:eastAsia="hr-HR"/>
        </w:rPr>
        <w:t xml:space="preserve"> kreditno zaduženje u HBOR-u u iznosu od 4,9 </w:t>
      </w:r>
      <w:proofErr w:type="spellStart"/>
      <w:r w:rsidRPr="00F10734">
        <w:rPr>
          <w:rFonts w:eastAsia="Times New Roman" w:cstheme="minorHAnsi"/>
          <w:lang w:eastAsia="hr-HR"/>
        </w:rPr>
        <w:t>mil.eura</w:t>
      </w:r>
      <w:proofErr w:type="spellEnd"/>
      <w:r w:rsidRPr="00F10734">
        <w:rPr>
          <w:rFonts w:eastAsia="Times New Roman" w:cstheme="minorHAnsi"/>
          <w:lang w:eastAsia="hr-HR"/>
        </w:rPr>
        <w:t xml:space="preserve">, već smo s početkom ove godine zatražili novu ponudu za kreditno zaduženje u iznosu od 7.000.000,00 eura, s kojim bi uz sufinanciranje Šibensko-kninske županije mogli zatvoriti financijsku konstrukciju i sklopiti ugovor o nabavi radova. </w:t>
      </w:r>
    </w:p>
    <w:p w14:paraId="79C5BC53" w14:textId="77777777" w:rsidR="00E42A26" w:rsidRPr="00F10734" w:rsidRDefault="00E42A26" w:rsidP="00E831FA">
      <w:pPr>
        <w:pStyle w:val="box45582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85532E3" w14:textId="55F5FC2F" w:rsidR="00D059D4" w:rsidRPr="00F10734" w:rsidRDefault="00D059D4" w:rsidP="00E831FA">
      <w:pPr>
        <w:pStyle w:val="box45582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10734">
        <w:rPr>
          <w:rStyle w:val="Naglaeno"/>
          <w:rFonts w:asciiTheme="minorHAnsi" w:hAnsiTheme="minorHAnsi" w:cstheme="minorHAnsi"/>
          <w:sz w:val="22"/>
          <w:szCs w:val="22"/>
          <w:shd w:val="clear" w:color="auto" w:fill="FFFFFF"/>
        </w:rPr>
        <w:lastRenderedPageBreak/>
        <w:t xml:space="preserve">5.454.000,00 </w:t>
      </w:r>
      <w:r w:rsidRPr="00F10734">
        <w:rPr>
          <w:rFonts w:asciiTheme="minorHAnsi" w:hAnsiTheme="minorHAnsi" w:cstheme="minorHAnsi"/>
          <w:sz w:val="22"/>
          <w:szCs w:val="22"/>
        </w:rPr>
        <w:t>eura osigurano</w:t>
      </w:r>
      <w:r w:rsidR="00F10734" w:rsidRPr="00F10734">
        <w:rPr>
          <w:rFonts w:asciiTheme="minorHAnsi" w:hAnsiTheme="minorHAnsi" w:cstheme="minorHAnsi"/>
          <w:sz w:val="22"/>
          <w:szCs w:val="22"/>
        </w:rPr>
        <w:t xml:space="preserve"> je</w:t>
      </w:r>
      <w:r w:rsidRPr="00F10734">
        <w:rPr>
          <w:rFonts w:asciiTheme="minorHAnsi" w:hAnsiTheme="minorHAnsi" w:cstheme="minorHAnsi"/>
          <w:sz w:val="22"/>
          <w:szCs w:val="22"/>
        </w:rPr>
        <w:t xml:space="preserve"> iz Nacionalnog plana oporavka i otpornosti</w:t>
      </w:r>
      <w:r w:rsidR="00E831FA">
        <w:rPr>
          <w:rFonts w:asciiTheme="minorHAnsi" w:hAnsiTheme="minorHAnsi" w:cstheme="minorHAnsi"/>
          <w:sz w:val="22"/>
          <w:szCs w:val="22"/>
        </w:rPr>
        <w:t>. Šibensko-kninska županija je kroz I. dodatak Sporazumu o partnerstvu u provedbi projekta „Izgradnja i opremanje Centra za starije osobe Drniš“ osigurala sufinanciranje provedbe projekta „Izgradnja i opremanje Centra za starije osobe u Gradu Drnišu“ u iznosu od 2.000.000,00 eura kroz dvije proračunske godine (2026. i 2027.). O</w:t>
      </w:r>
      <w:r w:rsidRPr="00F10734">
        <w:rPr>
          <w:rFonts w:asciiTheme="minorHAnsi" w:hAnsiTheme="minorHAnsi" w:cstheme="minorHAnsi"/>
          <w:sz w:val="22"/>
          <w:szCs w:val="22"/>
        </w:rPr>
        <w:t>statak financijske konstrukcije zatvorio</w:t>
      </w:r>
      <w:r w:rsidR="00E831FA">
        <w:rPr>
          <w:rFonts w:asciiTheme="minorHAnsi" w:hAnsiTheme="minorHAnsi" w:cstheme="minorHAnsi"/>
          <w:sz w:val="22"/>
          <w:szCs w:val="22"/>
        </w:rPr>
        <w:t xml:space="preserve"> bi se</w:t>
      </w:r>
      <w:r w:rsidRPr="00F10734">
        <w:rPr>
          <w:rFonts w:asciiTheme="minorHAnsi" w:hAnsiTheme="minorHAnsi" w:cstheme="minorHAnsi"/>
          <w:sz w:val="22"/>
          <w:szCs w:val="22"/>
        </w:rPr>
        <w:t xml:space="preserve"> uzimanjem dugoročnog kredita u iznosu od </w:t>
      </w:r>
      <w:r w:rsidR="00BD1804" w:rsidRPr="00F10734">
        <w:rPr>
          <w:rFonts w:asciiTheme="minorHAnsi" w:hAnsiTheme="minorHAnsi" w:cstheme="minorHAnsi"/>
          <w:sz w:val="22"/>
          <w:szCs w:val="22"/>
        </w:rPr>
        <w:t>7</w:t>
      </w:r>
      <w:r w:rsidRPr="00F10734">
        <w:rPr>
          <w:rFonts w:asciiTheme="minorHAnsi" w:hAnsiTheme="minorHAnsi" w:cstheme="minorHAnsi"/>
          <w:sz w:val="22"/>
          <w:szCs w:val="22"/>
        </w:rPr>
        <w:t>.</w:t>
      </w:r>
      <w:r w:rsidR="00BD1804" w:rsidRPr="00F10734">
        <w:rPr>
          <w:rFonts w:asciiTheme="minorHAnsi" w:hAnsiTheme="minorHAnsi" w:cstheme="minorHAnsi"/>
          <w:sz w:val="22"/>
          <w:szCs w:val="22"/>
        </w:rPr>
        <w:t>0</w:t>
      </w:r>
      <w:r w:rsidRPr="00F10734">
        <w:rPr>
          <w:rFonts w:asciiTheme="minorHAnsi" w:hAnsiTheme="minorHAnsi" w:cstheme="minorHAnsi"/>
          <w:sz w:val="22"/>
          <w:szCs w:val="22"/>
        </w:rPr>
        <w:t xml:space="preserve">00.000,00 eura. </w:t>
      </w:r>
    </w:p>
    <w:p w14:paraId="278E127F" w14:textId="6E2C1FCB" w:rsidR="00D059D4" w:rsidRPr="00F10734" w:rsidRDefault="00D059D4" w:rsidP="00E831FA">
      <w:pPr>
        <w:pStyle w:val="box45582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10734">
        <w:rPr>
          <w:rFonts w:asciiTheme="minorHAnsi" w:hAnsiTheme="minorHAnsi" w:cstheme="minorHAnsi"/>
          <w:sz w:val="22"/>
          <w:szCs w:val="22"/>
        </w:rPr>
        <w:t>Za financiranje navedenog, dobivena je indikativna ponuda Hrvatske banke za obnovu i razvoj</w:t>
      </w:r>
      <w:r w:rsidR="00E831FA">
        <w:rPr>
          <w:rFonts w:asciiTheme="minorHAnsi" w:hAnsiTheme="minorHAnsi" w:cstheme="minorHAnsi"/>
          <w:sz w:val="22"/>
          <w:szCs w:val="22"/>
        </w:rPr>
        <w:t>, koja je u privitku ovog obrazloženja.</w:t>
      </w:r>
    </w:p>
    <w:p w14:paraId="1068586C" w14:textId="77777777" w:rsidR="00B0735E" w:rsidRPr="00F10734" w:rsidRDefault="00B0735E" w:rsidP="00E831FA">
      <w:pPr>
        <w:pStyle w:val="box455823"/>
        <w:shd w:val="clear" w:color="auto" w:fill="FFFFFF"/>
        <w:spacing w:before="0" w:beforeAutospacing="0" w:after="0" w:afterAutospacing="0" w:line="336" w:lineRule="atLeast"/>
        <w:ind w:firstLine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E14E940" w14:textId="77777777" w:rsidR="00B0735E" w:rsidRPr="00F10734" w:rsidRDefault="00B0735E" w:rsidP="00E831FA">
      <w:pPr>
        <w:ind w:firstLine="709"/>
        <w:jc w:val="both"/>
        <w:rPr>
          <w:rFonts w:cstheme="minorHAnsi"/>
        </w:rPr>
      </w:pPr>
    </w:p>
    <w:p w14:paraId="5344F0B3" w14:textId="77777777" w:rsidR="00C0022F" w:rsidRPr="00F10734" w:rsidRDefault="00C0022F">
      <w:pPr>
        <w:rPr>
          <w:rFonts w:cstheme="minorHAnsi"/>
        </w:rPr>
      </w:pPr>
    </w:p>
    <w:sectPr w:rsidR="00C0022F" w:rsidRPr="00F10734" w:rsidSect="00907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1359E"/>
    <w:multiLevelType w:val="hybridMultilevel"/>
    <w:tmpl w:val="857C7D22"/>
    <w:lvl w:ilvl="0" w:tplc="535C59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151E8"/>
    <w:multiLevelType w:val="hybridMultilevel"/>
    <w:tmpl w:val="AB22C480"/>
    <w:lvl w:ilvl="0" w:tplc="89A6481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463DBA"/>
    <w:multiLevelType w:val="hybridMultilevel"/>
    <w:tmpl w:val="CAC0D1A0"/>
    <w:lvl w:ilvl="0" w:tplc="4C50F92C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" w15:restartNumberingAfterBreak="0">
    <w:nsid w:val="73AE1965"/>
    <w:multiLevelType w:val="hybridMultilevel"/>
    <w:tmpl w:val="BCC684E8"/>
    <w:lvl w:ilvl="0" w:tplc="89A6481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35E"/>
    <w:rsid w:val="00017B2B"/>
    <w:rsid w:val="000378CF"/>
    <w:rsid w:val="000625D5"/>
    <w:rsid w:val="001512BA"/>
    <w:rsid w:val="001976DD"/>
    <w:rsid w:val="001F1192"/>
    <w:rsid w:val="00322C7D"/>
    <w:rsid w:val="004376A1"/>
    <w:rsid w:val="004570F4"/>
    <w:rsid w:val="004D3BD7"/>
    <w:rsid w:val="005078DC"/>
    <w:rsid w:val="005A5C5F"/>
    <w:rsid w:val="00646C43"/>
    <w:rsid w:val="006C3805"/>
    <w:rsid w:val="006D3415"/>
    <w:rsid w:val="00774F46"/>
    <w:rsid w:val="0079053C"/>
    <w:rsid w:val="008036C8"/>
    <w:rsid w:val="008A0C5E"/>
    <w:rsid w:val="00907EAD"/>
    <w:rsid w:val="009122A4"/>
    <w:rsid w:val="00A155DA"/>
    <w:rsid w:val="00A2095C"/>
    <w:rsid w:val="00B0735E"/>
    <w:rsid w:val="00BA59A8"/>
    <w:rsid w:val="00BD1804"/>
    <w:rsid w:val="00C0022F"/>
    <w:rsid w:val="00D059D4"/>
    <w:rsid w:val="00DB2B99"/>
    <w:rsid w:val="00E2204C"/>
    <w:rsid w:val="00E34AD8"/>
    <w:rsid w:val="00E42A26"/>
    <w:rsid w:val="00E74FE6"/>
    <w:rsid w:val="00E831FA"/>
    <w:rsid w:val="00E92DC3"/>
    <w:rsid w:val="00F10734"/>
    <w:rsid w:val="00F4466F"/>
    <w:rsid w:val="00FC0A8E"/>
    <w:rsid w:val="00FC7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4E96F"/>
  <w15:docId w15:val="{FC6CE56F-551C-4550-A3F4-B5329628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EA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5823">
    <w:name w:val="box_455823"/>
    <w:basedOn w:val="Normal"/>
    <w:rsid w:val="00B07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character" w:customStyle="1" w:styleId="bold">
    <w:name w:val="bold"/>
    <w:basedOn w:val="Zadanifontodlomka"/>
    <w:rsid w:val="00B0735E"/>
  </w:style>
  <w:style w:type="paragraph" w:customStyle="1" w:styleId="Default">
    <w:name w:val="Default"/>
    <w:rsid w:val="00C002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C0022F"/>
    <w:pPr>
      <w:ind w:left="720"/>
      <w:contextualSpacing/>
    </w:pPr>
    <w:rPr>
      <w:rFonts w:ascii="Calibri" w:eastAsia="Calibri" w:hAnsi="Calibri" w:cs="Times New Roman"/>
      <w:kern w:val="0"/>
    </w:rPr>
  </w:style>
  <w:style w:type="character" w:styleId="Naglaeno">
    <w:name w:val="Strong"/>
    <w:basedOn w:val="Zadanifontodlomka"/>
    <w:uiPriority w:val="22"/>
    <w:qFormat/>
    <w:rsid w:val="00D059D4"/>
    <w:rPr>
      <w:b/>
      <w:bCs/>
    </w:rPr>
  </w:style>
  <w:style w:type="table" w:styleId="Reetkatablice">
    <w:name w:val="Table Grid"/>
    <w:basedOn w:val="Obinatablica"/>
    <w:uiPriority w:val="59"/>
    <w:rsid w:val="00E831F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E83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1074</Words>
  <Characters>6122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Josip Begonja</dc:creator>
  <cp:lastModifiedBy>Marija Lovrić</cp:lastModifiedBy>
  <cp:revision>5</cp:revision>
  <dcterms:created xsi:type="dcterms:W3CDTF">2025-02-05T12:24:00Z</dcterms:created>
  <dcterms:modified xsi:type="dcterms:W3CDTF">2025-02-05T12:31:00Z</dcterms:modified>
</cp:coreProperties>
</file>